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keepNext w:val="true"/>
        <w:keepLines/>
        <w:spacing w:before="360" w:after="80"/>
        <w:outlineLvl w:val="0"/>
        <w:rPr/>
      </w:pPr>
      <w:bookmarkStart w:id="0" w:name="content"/>
      <w:bookmarkStart w:id="1" w:name="X84bcec1cfee1ef5bb6e92d8d314619444601608"/>
      <w:bookmarkStart w:id="2" w:name="header"/>
      <w:bookmarkEnd w:id="0"/>
      <w:bookmarkEnd w:id="1"/>
      <w:bookmarkEnd w:id="2"/>
      <w:r>
        <w:rPr/>
        <w:t>Продающее меню в ресторане: от себестоимости до управляемого вау-эффекта</w:t>
      </w:r>
    </w:p>
    <w:p>
      <w:pPr>
        <w:pStyle w:val="2"/>
        <w:rPr/>
      </w:pPr>
      <w:bookmarkStart w:id="3" w:name="X008281e25ab5c15a4abd2ad2a3baf76456b22c4"/>
      <w:bookmarkEnd w:id="3"/>
      <w:r>
        <w:rPr/>
        <w:t>Меню как управленческий инструмент, а не макет</w:t>
      </w:r>
    </w:p>
    <w:p>
      <w:pPr>
        <w:pStyle w:val="FirstParagraph"/>
        <w:rPr>
          <w:lang w:val="ru-RU"/>
        </w:rPr>
      </w:pPr>
      <w:r>
        <w:rPr/>
        <w:t>Меню одновременно выполняет роль продукта, рекламного носителя и производственного задания: оно задаёт, что именно будет производиться, какие ингредиенты и оборудование потребуются, и какие компетенции нужны персоналу. При этом влияние «дизайнерских» вмешательств на поведение гостей подтверждается исследованиями, но эффект не является гарантированным и сильно зависит от контекста</w:t>
      </w:r>
      <w:r>
        <w:rPr>
          <w:lang w:val="ru-RU"/>
        </w:rPr>
        <w:t xml:space="preserve">. </w:t>
      </w:r>
    </w:p>
    <w:p>
      <w:pPr>
        <w:pStyle w:val="2"/>
        <w:rPr>
          <w:lang w:val="ru-RU"/>
        </w:rPr>
      </w:pPr>
      <w:bookmarkStart w:id="4" w:name="X008281e25ab5c15a4abd2ad2a3baf76456b22c4"/>
      <w:bookmarkStart w:id="5" w:name="X808e58bd0a6c6e0af5920504ca4326022db6291"/>
      <w:bookmarkEnd w:id="4"/>
      <w:bookmarkEnd w:id="5"/>
      <w:r>
        <w:rPr/>
        <w:t>Финансовая модель: себестоимость, фудкост, маржинальность, прайм</w:t>
        <w:noBreakHyphen/>
        <w:t>кост и ценовые решения</w:t>
      </w:r>
    </w:p>
    <w:p>
      <w:pPr>
        <w:pStyle w:val="FirstParagraph"/>
        <w:rPr>
          <w:lang w:val="ru-RU"/>
        </w:rPr>
      </w:pPr>
      <w:r>
        <w:rPr/>
        <w:t xml:space="preserve">Экономическая основа меню начинается с точного расчёта себестоимости порции и фиксирования стандартов производства. В практической калькуляции меню используются показатели «portion cost», «food cost %», «portion contribution margin» и связка с фактическими продажами из POS, что позволяет рассчитывать вклад каждого блюда в валовую маржу и сравнивать позиции между собой на одинаковой логике. </w:t>
      </w:r>
    </w:p>
    <w:p>
      <w:pPr>
        <w:pStyle w:val="Style12"/>
        <w:rPr>
          <w:lang w:val="ru-RU"/>
        </w:rPr>
      </w:pPr>
      <w:r>
        <w:rPr/>
        <w:t>Food Cost в базовой формуле считается как отношение себестоимости порции к цене продажи, умноженное на 100. Ориентир по доле себестоимости для ресторанов порядка 25–35%, но этот диапазон не является универсальным стандартом и должен корректироваться под сегмент, ценовой уровень, формат сервиса и структуру закупки. На уровне P&amp;L критично контролировать не только food cost, но и «prime cost» как сумму затрат на продукты/напитки и труд: в операционных руководствах и бенчмарках для full</w:t>
        <w:noBreakHyphen/>
        <w:t xml:space="preserve">service часто указывается целевой коридор около 60–65% от продаж, с вариациями по концепции и модели обслуживания. </w:t>
      </w:r>
    </w:p>
    <w:p>
      <w:pPr>
        <w:pStyle w:val="Style12"/>
        <w:rPr>
          <w:lang w:val="ru-RU"/>
        </w:rPr>
      </w:pPr>
      <w:r>
        <w:rPr/>
        <w:t>Для управляемой маржинальности важно перейти от «наценки» как интуитивного множителя к «м</w:t>
      </w:r>
      <w:r>
        <w:rPr>
          <w:lang w:val="ru-RU"/>
        </w:rPr>
        <w:t>аржинальности одного блюда</w:t>
      </w:r>
      <w:r>
        <w:rPr/>
        <w:t xml:space="preserve">» как рабочей единице принятия решений: вклад позиции считается как цена продажи минус переменная себестоимость (для кухни обычно food cost), затем сравнивается с взвешенной средней маржой по группе. В menu engineering подходе порог «популярности» часто задаётся как превышение 70% от средней популярности по группе, а «высокая/низкая маржа» определяется относительно взвешенной средней contribution margin по группе. </w:t>
      </w:r>
    </w:p>
    <w:p>
      <w:pPr>
        <w:pStyle w:val="Style12"/>
        <w:rPr>
          <w:lang w:val="ru-RU"/>
        </w:rPr>
      </w:pPr>
      <w:r>
        <w:rPr/>
        <w:t>Ценообразование в продающем меню должно учитывать не только себестоимость и желаемый food cost, но и поведенческую реакцию на формат цены. Эксперимент Cornell Center for Hospitality Research на гостях ресторана St. Andrew’s (Culinary Institute of America) сравнивал три формата: с символом валюты, без символа и «прописанную» валюту; вариант без явной отсылки к деньгам дал более высокий средний чек. В этом исследовании отмечена разница около $5.55 по о</w:t>
      </w:r>
      <w:r>
        <w:rPr>
          <w:lang w:val="ru-RU"/>
        </w:rPr>
        <w:t>бщий чек</w:t>
      </w:r>
      <w:r>
        <w:rPr/>
        <w:t xml:space="preserve"> в пользу форматирования без валютных подсказок; авторы также приводят пересчёт как примерно 8.15% прироста среднего расхода на человека</w:t>
      </w:r>
      <w:r>
        <w:rPr>
          <w:lang w:val="ru-RU"/>
        </w:rPr>
        <w:t xml:space="preserve">. </w:t>
      </w:r>
      <w:r>
        <w:rPr/>
        <w:t xml:space="preserve">Cornell Chronicle в пересказе тех же выводов связывает эффект с механизмом «pain of paying», когда символ/слово про деньги усиливает психологический дискомфорт оплаты. Концептуально «pain of paying» описывается в теории двойной записи ментального учёта и связке «удовольствие потребления ↔ боль оплаты», где степень «coupling» между оплатой и потреблением влияет на воспринимаемую ценность. </w:t>
      </w:r>
    </w:p>
    <w:p>
      <w:pPr>
        <w:pStyle w:val="Style12"/>
        <w:rPr/>
      </w:pPr>
      <w:r>
        <w:rPr/>
        <w:t>В структуре ценового предложения полезно применять доказанные эффекты построения линейки. «Decoy effect» (asymmetric dominance) показывает, что добавление заведомо доминируемой альтернативы может сдвигать выбор в сторону целевой позиции и повышать прибыльность линейки, даже если «приманку» почти никто не выбирает. Это напрямую переносится на проектирование «ценовых якорей» и архитектуру порций/объёмов в категориях, где гость выбирает из 2–4 близких опций.</w:t>
      </w:r>
    </w:p>
    <w:p>
      <w:pPr>
        <w:pStyle w:val="Style12"/>
        <w:rPr>
          <w:lang w:val="ru-RU"/>
        </w:rPr>
      </w:pPr>
      <w:r>
        <w:rPr/>
        <w:t>Ценовые окончания тоже работают как сигнал. Окончания .00 и .09 часто используются как маркеры «качества» и «ценности», и что потребители действительно используют такие окончания как информационные подсказки при выборе. Для меню это означает, что стандартизация «окончаний» должна быть осознанным решением, согласованным с позиционированием: «премиальность» и «выгодность» через формат цены транслируются по</w:t>
        <w:noBreakHyphen/>
        <w:t xml:space="preserve">разному. </w:t>
      </w:r>
    </w:p>
    <w:p>
      <w:pPr>
        <w:pStyle w:val="2"/>
        <w:rPr/>
      </w:pPr>
      <w:bookmarkStart w:id="6" w:name="X808e58bd0a6c6e0af5920504ca4326022db6291"/>
      <w:bookmarkStart w:id="7" w:name="Xe16b5fa6bccddd13cb6e4f855dfcb913f9e601f"/>
      <w:bookmarkEnd w:id="6"/>
      <w:bookmarkEnd w:id="7"/>
      <w:r>
        <w:rPr/>
        <w:t>Ассортимент и номенклатура: портфель позиций, снижение SKU и управляемая новизна</w:t>
      </w:r>
    </w:p>
    <w:p>
      <w:pPr>
        <w:pStyle w:val="FirstParagraph"/>
        <w:rPr>
          <w:lang w:val="ru-RU"/>
        </w:rPr>
      </w:pPr>
      <w:r>
        <w:rPr/>
        <w:t>Структурная модель 55/15/10/20 работает как распределение ролей в портфеле</w:t>
      </w:r>
      <w:r>
        <w:rPr>
          <w:lang w:val="ru-RU"/>
        </w:rPr>
        <w:t>:</w:t>
      </w:r>
    </w:p>
    <w:p>
      <w:pPr>
        <w:pStyle w:val="FirstParagraph"/>
        <w:rPr>
          <w:lang w:val="ru-RU"/>
        </w:rPr>
      </w:pPr>
      <w:r>
        <w:rPr>
          <w:lang w:val="ru-RU"/>
        </w:rPr>
        <w:t>- о</w:t>
      </w:r>
      <w:r>
        <w:rPr/>
        <w:t xml:space="preserve">сновные блюда обеспечивают предсказуемый спрос и базовую выручку; </w:t>
      </w:r>
    </w:p>
    <w:p>
      <w:pPr>
        <w:pStyle w:val="FirstParagraph"/>
        <w:rPr>
          <w:lang w:val="ru-RU"/>
        </w:rPr>
      </w:pPr>
      <w:r>
        <w:rPr>
          <w:lang w:val="ru-RU"/>
        </w:rPr>
        <w:t xml:space="preserve">- </w:t>
      </w:r>
      <w:r>
        <w:rPr/>
        <w:t>маркетинговые позиции формируют отличимость и PR</w:t>
        <w:noBreakHyphen/>
        <w:t xml:space="preserve">поводы; </w:t>
      </w:r>
    </w:p>
    <w:p>
      <w:pPr>
        <w:pStyle w:val="FirstParagraph"/>
        <w:rPr>
          <w:lang w:val="ru-RU"/>
        </w:rPr>
      </w:pPr>
      <w:r>
        <w:rPr>
          <w:lang w:val="ru-RU"/>
        </w:rPr>
        <w:t xml:space="preserve">- </w:t>
      </w:r>
      <w:r>
        <w:rPr/>
        <w:t xml:space="preserve">оптимизаторы разгоняют средний чек через допродажи; </w:t>
      </w:r>
    </w:p>
    <w:p>
      <w:pPr>
        <w:pStyle w:val="FirstParagraph"/>
        <w:rPr>
          <w:lang w:val="ru-RU"/>
        </w:rPr>
      </w:pPr>
      <w:r>
        <w:rPr>
          <w:lang w:val="ru-RU"/>
        </w:rPr>
        <w:t xml:space="preserve">- </w:t>
      </w:r>
      <w:r>
        <w:rPr/>
        <w:t xml:space="preserve">сезонные предложения поддерживают обновление и позволяют тестировать гипотезы без риска для ядра. </w:t>
      </w:r>
    </w:p>
    <w:p>
      <w:pPr>
        <w:pStyle w:val="FirstParagraph"/>
        <w:rPr/>
      </w:pPr>
      <w:r>
        <w:rPr/>
        <w:t>В этой логике важно не число позиций само по себе, а управляемость портфеля: доля «ядра» должна обеспечивать повторяемость и стабильность производства, а доля «нового» должна быть ограничена пропускной способностью кухни, обучения персонала и цепочки поставок.</w:t>
      </w:r>
    </w:p>
    <w:p>
      <w:pPr>
        <w:pStyle w:val="Style12"/>
        <w:rPr>
          <w:lang w:val="ru-RU"/>
        </w:rPr>
      </w:pPr>
      <w:r>
        <w:rPr/>
        <w:t>Menu engineering даёт инструмент проверки этого портфеля через связку популярности и contribution margin. В классической логике анализ идёт внутри «конкурирующей группы» (категории меню), где классификация по популярности и марже помогает понять, какие позиции поддерживать и масштабировать, какие перерабатывать, а какие выводить. Эта же логика ценно связывается с POS</w:t>
        <w:noBreakHyphen/>
        <w:t xml:space="preserve">данными: «total sold» и финансовые поля по каждой позиции дают возможность прогнозировать закупки, планировать производственную нагрузку и оценивать вклад блюда в итоговую маржу периода. </w:t>
      </w:r>
    </w:p>
    <w:p>
      <w:pPr>
        <w:pStyle w:val="Style12"/>
        <w:rPr/>
      </w:pPr>
      <w:r>
        <w:rPr/>
        <w:t>Отдельная причина держать ассортимент в контролируемых рамках — эффект перегрузки выбора. Расширение набора опций может повышать интерес на входе, но снижать конверсию в покупку по сравнению с меньшим набором вариантов. Для ресторана это выражается в росте времени выбора, увеличении вероятности отказа от дополнительных позиций и усложнении работы кухни за счёт раздувания номенклатуры.</w:t>
      </w:r>
    </w:p>
    <w:p>
      <w:pPr>
        <w:pStyle w:val="Style12"/>
        <w:rPr/>
      </w:pPr>
      <w:r>
        <w:rPr/>
        <w:t>Операционный противовес «раздутому меню» — кросс</w:t>
        <w:noBreakHyphen/>
        <w:t>использование ингредиентов. Практические рекомендации по к</w:t>
      </w:r>
      <w:r>
        <w:rPr>
          <w:lang w:val="ru-RU"/>
        </w:rPr>
        <w:t>росс-использованию</w:t>
      </w:r>
      <w:r>
        <w:rPr/>
        <w:t xml:space="preserve"> сходятся в ключевых эффектах: снижение потерь по скоропорту, упрощение инвентаризации, повышение управляемости закупки и стабильности производства при меньшем числе SKU. В такой модели сезонность перестаёт быть «внесением случайных блюд» и становится управляемым слоем над базовыми заготовками и повторно используемыми компонентами.</w:t>
      </w:r>
    </w:p>
    <w:p>
      <w:pPr>
        <w:pStyle w:val="Style12"/>
        <w:rPr/>
      </w:pPr>
      <w:r>
        <w:rPr/>
        <w:t>Фундамент управляемой себестоимости — стандартизированные рецептуры и порционирование</w:t>
      </w:r>
      <w:r>
        <w:rPr>
          <w:lang w:val="ru-RU"/>
        </w:rPr>
        <w:t xml:space="preserve"> - ТТК</w:t>
      </w:r>
      <w:r>
        <w:rPr/>
        <w:t xml:space="preserve">. </w:t>
      </w:r>
    </w:p>
    <w:p>
      <w:pPr>
        <w:pStyle w:val="2"/>
        <w:rPr/>
      </w:pPr>
      <w:bookmarkStart w:id="8" w:name="Xe16b5fa6bccddd13cb6e4f855dfcb913f9e601f"/>
      <w:bookmarkStart w:id="9" w:name="X60cb9b8150f90fb6d82e9461a6101b8b2d1a7cd"/>
      <w:bookmarkEnd w:id="8"/>
      <w:bookmarkEnd w:id="9"/>
      <w:r>
        <w:rPr/>
        <w:t>Оптимизация производства и сервиса: скорость, качество, труд и ограничения станции</w:t>
      </w:r>
    </w:p>
    <w:p>
      <w:pPr>
        <w:pStyle w:val="FirstParagraph"/>
        <w:rPr>
          <w:lang w:val="ru-RU"/>
        </w:rPr>
      </w:pPr>
      <w:r>
        <w:rPr/>
        <w:t xml:space="preserve">Продающее меню должно быть выполнимым на реальной кухне без деградации качества и скорости. В расширенных моделях </w:t>
      </w:r>
      <w:r>
        <w:rPr>
          <w:lang w:val="ru-RU"/>
        </w:rPr>
        <w:t>инжиниринга меню</w:t>
      </w:r>
      <w:r>
        <w:rPr/>
        <w:t xml:space="preserve"> учитывается не только популярность и м</w:t>
      </w:r>
      <w:r>
        <w:rPr>
          <w:lang w:val="ru-RU"/>
        </w:rPr>
        <w:t>аржинальный доход с единицы продукта</w:t>
      </w:r>
      <w:r>
        <w:rPr/>
        <w:t>, но и трудоёмкость/нагрузка по процессу</w:t>
      </w:r>
      <w:r>
        <w:rPr>
          <w:lang w:val="ru-RU"/>
        </w:rPr>
        <w:t>.</w:t>
      </w:r>
    </w:p>
    <w:p>
      <w:pPr>
        <w:pStyle w:val="Style12"/>
        <w:rPr>
          <w:lang w:val="ru-RU"/>
        </w:rPr>
      </w:pPr>
      <w:r>
        <w:rPr/>
        <w:t xml:space="preserve">Практически это означает необходимость синхронизировать четыре поля на уровне каждой позиции: технологическая карта и стандарт порции; карта заготовок и станций; время приготовления и «окна» отдачи; требования к обучению и контролю качества. Обоснование необходимости стандартизации упирается в управляемость издержек и предсказуемость результата: стандартизированный рецепт описывает выход, порцию, оборудование, температуры и метод, что облегчает закупку, обучение и прогнозирование затрат. </w:t>
      </w:r>
    </w:p>
    <w:p>
      <w:pPr>
        <w:pStyle w:val="Style12"/>
        <w:rPr>
          <w:lang w:val="ru-RU"/>
        </w:rPr>
      </w:pPr>
      <w:r>
        <w:rPr/>
        <w:t>Кросс</w:t>
        <w:noBreakHyphen/>
        <w:t xml:space="preserve">использование продуктов здесь работает как производственный дизайн, а не только экономия. Когда ингредиент используется в нескольких блюдах, уменьшается риск списаний, повышается оборачиваемость, упрощаются хранение и управление запасом, а также снижается зависимость от «одной позиции», ради которой закупается редкий продукт. </w:t>
      </w:r>
    </w:p>
    <w:p>
      <w:pPr>
        <w:pStyle w:val="Style12"/>
        <w:rPr>
          <w:lang w:val="ru-RU"/>
        </w:rPr>
      </w:pPr>
      <w:r>
        <w:rPr/>
        <w:t>Слой «оптимизаторов» в модели 55/15/10/20 должен проектироваться не как случайные «добавки», а как технологически лёгкие и маржинальные элементы, которые не перегружают ключевые станции. Поведенчески оптимизаторы могут давать рост среднего чека, но финансово они должны быть рассчитаны как отдельные продукты со своей себестоимостью и м</w:t>
      </w:r>
      <w:r>
        <w:rPr>
          <w:lang w:val="ru-RU"/>
        </w:rPr>
        <w:t>аржинальным доходом</w:t>
      </w:r>
      <w:r>
        <w:rPr/>
        <w:t xml:space="preserve">, чтобы допродажа не создавала скрытый перерасход по ингредиентам и труду. </w:t>
      </w:r>
    </w:p>
    <w:p>
      <w:pPr>
        <w:pStyle w:val="2"/>
        <w:rPr/>
      </w:pPr>
      <w:bookmarkStart w:id="10" w:name="X60cb9b8150f90fb6d82e9461a6101b8b2d1a7cd"/>
      <w:bookmarkStart w:id="11" w:name="X6e6482857cad07ae86d82592233c760b75c62b8"/>
      <w:bookmarkEnd w:id="10"/>
      <w:bookmarkEnd w:id="11"/>
      <w:r>
        <w:rPr/>
        <w:t>Поведенческая и визуальная инженерия: верстка, цвет, материалы, фото, тексты, сенсорика</w:t>
      </w:r>
    </w:p>
    <w:p>
      <w:pPr>
        <w:pStyle w:val="FirstParagraph"/>
        <w:rPr/>
      </w:pPr>
      <w:r>
        <w:rPr/>
        <w:t>Позиционирование внутри списка в категории является более надёжным рычагом, чем мифология «магических зон» на развороте. В статье Dayan &amp; Bar</w:t>
        <w:noBreakHyphen/>
        <w:t>Hillel показано, что позиции, размещённые в начале или конце списка внутри категории, могут становиться до двух раз более популярными, чем при размещении в середине. Это даёт прикладное правило: наиболее прибыльные позиции в каждой категории целесообразно ставить на края списка, а не «прятать» в середину.</w:t>
      </w:r>
    </w:p>
    <w:p>
      <w:pPr>
        <w:pStyle w:val="Style12"/>
        <w:rPr>
          <w:lang w:val="ru-RU"/>
        </w:rPr>
      </w:pPr>
      <w:r>
        <w:rPr/>
        <w:t>При этом важно отделять эффект «позиции в списке» от эффекта «страницы/разворота». Eye</w:t>
        <w:noBreakHyphen/>
        <w:t>tracking работа Yang по ресторанным меню показывает, что реальные траектории просмотра отличаются от распространённых отраслевых представлений и что традиционные «sweet spots» могут не существовать в том виде, как их описывает практика. Отдельное полевое исследование Kincaid &amp; Corsun тестировало одну из популярных консалтинговых гипотез через перестановку страниц в трёхстраничном меню и не обнаружило значимых изменений продаж позиций до и после вмешательства. Вывод для разработки меню: список</w:t>
        <w:noBreakHyphen/>
        <w:t>внутри</w:t>
        <w:noBreakHyphen/>
        <w:t xml:space="preserve">категории и визуальная иерархия важнее, чем ставка на «правильную страницу», и любое утверждение про «гарантированную зону внимания» в конкретном ресторане нужно подтверждать собственными данными. </w:t>
      </w:r>
    </w:p>
    <w:p>
      <w:pPr>
        <w:pStyle w:val="Style12"/>
        <w:rPr>
          <w:lang w:val="ru-RU"/>
        </w:rPr>
      </w:pPr>
      <w:r>
        <w:rPr/>
        <w:t>Материалы и «тактильность» меню дают измеримые сигналы о масштабе и ожидаемом сервисе. Эксперимент Magnini &amp; Kim показал, что курсив (italicized font) повышал восприятие ресторана как более в</w:t>
      </w:r>
      <w:r>
        <w:rPr>
          <w:lang w:val="ru-RU"/>
        </w:rPr>
        <w:t>ысокиц</w:t>
      </w:r>
      <w:r>
        <w:rPr/>
        <w:t xml:space="preserve"> и повышал оценку ожидаемого качества сервиса; тяжёлое меню (heavy weight) давало аналогичный эффект по восприятию масштаба и сервисного качества. При этом золотой фон по сравнению с белым не дал статистически значимого эффекта на восприятие масштаба и качества сервиса, несмотря на направление средних значений. Практический вывод: вес и типографика могут работать как сигнал позиционирования, а «цвет бумаги сам по себе» не должен считаться гарантированным рычагом без теста. </w:t>
      </w:r>
    </w:p>
    <w:p>
      <w:pPr>
        <w:pStyle w:val="Style12"/>
        <w:rPr>
          <w:lang w:val="ru-RU"/>
        </w:rPr>
      </w:pPr>
      <w:r>
        <w:rPr/>
        <w:t>Фото в меню требует режима «точечно и по задаче». Исследование Hou, Yang &amp; Sun показывает, что для типичных описательных названий добавление картинки повышает м</w:t>
      </w:r>
      <w:r>
        <w:rPr>
          <w:lang w:val="ru-RU"/>
        </w:rPr>
        <w:t>аксимальную цену, которую гость готов заплатить</w:t>
      </w:r>
      <w:r>
        <w:rPr/>
        <w:t xml:space="preserve"> и н</w:t>
      </w:r>
      <w:r>
        <w:rPr>
          <w:lang w:val="ru-RU"/>
        </w:rPr>
        <w:t>амерение купить</w:t>
      </w:r>
      <w:r>
        <w:rPr/>
        <w:t>; в одном из результатов м</w:t>
      </w:r>
      <w:r>
        <w:rPr>
          <w:lang w:val="ru-RU"/>
        </w:rPr>
        <w:t>аксимальной цены</w:t>
      </w:r>
      <w:r>
        <w:rPr/>
        <w:t xml:space="preserve"> при наличии картинки для «п</w:t>
      </w:r>
      <w:r>
        <w:rPr>
          <w:lang w:val="ru-RU"/>
        </w:rPr>
        <w:t>ростого названия блюда</w:t>
      </w:r>
      <w:r>
        <w:rPr/>
        <w:t>» было значимо выше, чем без неё. Одновременно работа демонстрирует риск для двусмысленных/сильно «креативных» названий: у части потребителей (в</w:t>
      </w:r>
      <w:r>
        <w:rPr>
          <w:lang w:val="ru-RU"/>
        </w:rPr>
        <w:t>изуалов</w:t>
      </w:r>
      <w:r>
        <w:rPr/>
        <w:t>) наличие картинки при н</w:t>
      </w:r>
      <w:r>
        <w:rPr>
          <w:lang w:val="ru-RU"/>
        </w:rPr>
        <w:t>епонятном названии</w:t>
      </w:r>
      <w:r>
        <w:rPr/>
        <w:t xml:space="preserve"> может снижать намерение покупки по сравнению с вариантом без картинки, тогда как </w:t>
      </w:r>
      <w:r>
        <w:rPr>
          <w:lang w:val="ru-RU"/>
        </w:rPr>
        <w:t xml:space="preserve">вербальный </w:t>
      </w:r>
      <w:r>
        <w:rPr/>
        <w:t xml:space="preserve">эффект может быть положительным. Это задаёт управленческое правило: фото оправдано, когда снижает неопределённость и поддерживает понятные названия; при ставке на «игру воображения» фото может ломать индивидуальную ментальную картинку и ухудшать реакцию. </w:t>
      </w:r>
    </w:p>
    <w:p>
      <w:pPr>
        <w:pStyle w:val="Style12"/>
        <w:rPr>
          <w:lang w:val="ru-RU"/>
        </w:rPr>
      </w:pPr>
      <w:r>
        <w:rPr/>
        <w:t>Тексты и описания работают, но их нельзя переоценивать. В мета</w:t>
        <w:noBreakHyphen/>
        <w:t>анализе по дизайну меню отмечается, что эффекты различаются по типам элементов, а влияние описания позиции на фактическую покупку в среднем является слабым и в ряде разрезов может быть статистически незначимым, тогда как на установки и намерения влияние проявляется чаще. При этом отдельные полевые эксперименты показывают существенные приросты продаж при корректном использовании описательных ярлыков: исследование, описанное Wageningen University &amp; Research, фиксирует рост продаж на 27% и улучшение отношения к блюду, ресторанy и намерения вернуться, при отсутствии прямого роста н</w:t>
      </w:r>
      <w:r>
        <w:rPr>
          <w:lang w:val="ru-RU"/>
        </w:rPr>
        <w:t>амерения заплатить</w:t>
      </w:r>
      <w:r>
        <w:rPr/>
        <w:t xml:space="preserve">. Другой исследовательский контур показывает, что усложнение/детализация описаний может повышать воспринимаемое качество, ожидаемую цену и вероятность выбора, то есть тексты могут работать через восприятие ценности, а не через «красоту формулировки». </w:t>
      </w:r>
    </w:p>
    <w:p>
      <w:pPr>
        <w:pStyle w:val="Style12"/>
        <w:rPr>
          <w:lang w:val="ru-RU"/>
        </w:rPr>
      </w:pPr>
      <w:r>
        <w:rPr/>
        <w:t>Сенсорная часть «вау</w:t>
        <w:noBreakHyphen/>
        <w:t>эффекта» должна быть управляемой и согласованной с ожиданиями, которые создаёт меню. В обзоре Spence подчёркивается, что цвет является одним из ключевых сенсорных сигналов, формирующих ожидания вкуса и качества, и что несоответствие цвета и ожидаемого вкуса может приводить к негативно</w:t>
      </w:r>
      <w:r>
        <w:rPr>
          <w:lang w:val="ru-RU"/>
        </w:rPr>
        <w:t xml:space="preserve">й </w:t>
      </w:r>
      <w:r>
        <w:rPr/>
        <w:t>р</w:t>
      </w:r>
      <w:r>
        <w:rPr>
          <w:lang w:val="ru-RU"/>
        </w:rPr>
        <w:t>азнице между ожиданием гостя и его опытом</w:t>
      </w:r>
      <w:r>
        <w:rPr/>
        <w:t>. Исследования по сервировке показывают, что форма и цвет тарелки могут влиять на оценки сладости, интенсивности, качества и симпатии к одному и тому же продукту, то есть «подача» является не только эстетикой, но и модификатором восприятия вкуса. В систематическом обзоре визуальных дизайн</w:t>
        <w:noBreakHyphen/>
        <w:t>подсказок в контексте выбора еды подчёркивается, что визуальные стимулы влияют на поведение через внимание, аффективные и когнитивные реакции, восприятие продукта и установки. «В</w:t>
      </w:r>
      <w:r>
        <w:rPr>
          <w:lang w:val="ru-RU"/>
        </w:rPr>
        <w:t>ау</w:t>
      </w:r>
      <w:r>
        <w:rPr/>
        <w:t xml:space="preserve">» должно проектироваться как контролируемая связка описания, визуала, подачи и реального вкуса; иначе повышается риск завышенных ожиданий и снижения удовлетворённости. </w:t>
      </w:r>
    </w:p>
    <w:p>
      <w:pPr>
        <w:pStyle w:val="2"/>
        <w:rPr/>
      </w:pPr>
      <w:bookmarkStart w:id="12" w:name="X6e6482857cad07ae86d82592233c760b75c62b8"/>
      <w:bookmarkStart w:id="13" w:name="Xe323961214b5c23a2aa90ca41f556eef23ac12e"/>
      <w:bookmarkEnd w:id="12"/>
      <w:bookmarkEnd w:id="13"/>
      <w:r>
        <w:rPr/>
        <w:t>Контур управления и улучшений: тесты, дегустации, обучение, аналитика</w:t>
      </w:r>
    </w:p>
    <w:p>
      <w:pPr>
        <w:pStyle w:val="FirstParagraph"/>
        <w:rPr>
          <w:lang w:val="ru-RU"/>
        </w:rPr>
      </w:pPr>
      <w:r>
        <w:rPr/>
        <w:t>Меню должно находиться в цикле управления, иначе оно превращается в архив решений. Доказательная база по меню</w:t>
        <w:noBreakHyphen/>
        <w:t xml:space="preserve">дизайну подчёркивает, что результаты лабораторных работ заметно сильнее, чем результаты полевых, и что </w:t>
      </w:r>
      <w:r>
        <w:rPr>
          <w:lang w:val="ru-RU"/>
        </w:rPr>
        <w:t xml:space="preserve">меню с фото </w:t>
      </w:r>
      <w:r>
        <w:rPr/>
        <w:t>дают более выраженный эффект, чем реальные меню; это означает необходимость опираться на собственные POS</w:t>
        <w:noBreakHyphen/>
        <w:t>данные и проводить проверки в реальном потоке. Отдельно Dayan &amp; Bar</w:t>
        <w:noBreakHyphen/>
        <w:t xml:space="preserve">Hillel прямо отмечают практическую простоту проверки позиционного эффекта в конкретном контексте: переставить позиции и посмотреть на изменение заказов. </w:t>
      </w:r>
    </w:p>
    <w:p>
      <w:pPr>
        <w:pStyle w:val="Style12"/>
        <w:rPr>
          <w:lang w:val="ru-RU"/>
        </w:rPr>
      </w:pPr>
      <w:r>
        <w:rPr/>
        <w:t>В качественном контуре меню</w:t>
        <w:noBreakHyphen/>
        <w:t xml:space="preserve">разработки дегустации и внутренние тесты остаются обязательными, но они должны быть связаны с экономикой и операциями: каждый кандидат в меню должен проходить проверку себестоимости, трудоёмкости, стабильности исполнения, скорости приготовления и возможности масштабирования. Стандартизация рецептур и порций обеспечивает основу для такой проверки, потому что даёт повторяемый результат и сопоставимую себестоимость на единицу. </w:t>
      </w:r>
    </w:p>
    <w:p>
      <w:pPr>
        <w:pStyle w:val="Style12"/>
        <w:spacing w:before="180" w:after="180"/>
        <w:rPr/>
      </w:pPr>
      <w:r>
        <w:rPr/>
      </w:r>
      <w:bookmarkStart w:id="14" w:name="content"/>
      <w:bookmarkStart w:id="15" w:name="X84bcec1cfee1ef5bb6e92d8d314619444601608"/>
      <w:bookmarkStart w:id="16" w:name="Xe323961214b5c23a2aa90ca41f556eef23ac12e"/>
      <w:bookmarkStart w:id="17" w:name="content"/>
      <w:bookmarkStart w:id="18" w:name="X84bcec1cfee1ef5bb6e92d8d314619444601608"/>
      <w:bookmarkStart w:id="19" w:name="Xe323961214b5c23a2aa90ca41f556eef23ac12e"/>
      <w:bookmarkEnd w:id="17"/>
      <w:bookmarkEnd w:id="18"/>
      <w:bookmarkEnd w:id="19"/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ptos Display">
    <w:charset w:val="cc"/>
    <w:family w:val="roman"/>
    <w:pitch w:val="variable"/>
  </w:font>
  <w:font w:name="Consolas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9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ru" w:eastAsia="en-U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20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ru" w:eastAsia="en-US" w:bidi="ar-SA"/>
    </w:rPr>
  </w:style>
  <w:style w:type="paragraph" w:styleId="1">
    <w:name w:val="Heading 1"/>
    <w:basedOn w:val="Normal"/>
    <w:next w:val="Style12"/>
    <w:link w:val="10"/>
    <w:uiPriority w:val="9"/>
    <w:qFormat/>
    <w:rsid w:val="00a10fd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Style12"/>
    <w:link w:val="20"/>
    <w:uiPriority w:val="9"/>
    <w:semiHidden/>
    <w:unhideWhenUsed/>
    <w:qFormat/>
    <w:rsid w:val="00a10fd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Style12"/>
    <w:link w:val="30"/>
    <w:uiPriority w:val="9"/>
    <w:semiHidden/>
    <w:unhideWhenUsed/>
    <w:qFormat/>
    <w:rsid w:val="00a10fd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Style12"/>
    <w:link w:val="40"/>
    <w:uiPriority w:val="9"/>
    <w:semiHidden/>
    <w:unhideWhenUsed/>
    <w:qFormat/>
    <w:rsid w:val="00a10fd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Style12"/>
    <w:link w:val="50"/>
    <w:uiPriority w:val="9"/>
    <w:semiHidden/>
    <w:unhideWhenUsed/>
    <w:qFormat/>
    <w:rsid w:val="00a10fd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Style12"/>
    <w:link w:val="60"/>
    <w:uiPriority w:val="9"/>
    <w:semiHidden/>
    <w:unhideWhenUsed/>
    <w:qFormat/>
    <w:rsid w:val="00a10fd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Style12"/>
    <w:link w:val="70"/>
    <w:uiPriority w:val="9"/>
    <w:semiHidden/>
    <w:unhideWhenUsed/>
    <w:qFormat/>
    <w:rsid w:val="00a10fd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Style12"/>
    <w:link w:val="80"/>
    <w:uiPriority w:val="9"/>
    <w:semiHidden/>
    <w:unhideWhenUsed/>
    <w:qFormat/>
    <w:rsid w:val="00a10fd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Style12"/>
    <w:link w:val="90"/>
    <w:uiPriority w:val="9"/>
    <w:semiHidden/>
    <w:unhideWhenUsed/>
    <w:qFormat/>
    <w:rsid w:val="00a10fd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Заголовок Знак"/>
    <w:basedOn w:val="DefaultParagraphFont"/>
    <w:link w:val="a4"/>
    <w:uiPriority w:val="10"/>
    <w:qFormat/>
    <w:rsid w:val="00a10fd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6"/>
    <w:uiPriority w:val="11"/>
    <w:qFormat/>
    <w:rsid w:val="00a10fd9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a10fd9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a10fd9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a10fd9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a10fd9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a10fd9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a10fd9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a10fd9"/>
    <w:rPr>
      <w:rFonts w:eastAsia="" w:cs="" w:cstheme="majorBidi" w:eastAsiaTheme="majorEastAsia"/>
      <w:color w:val="272727" w:themeColor="text1" w:themeTint="d8"/>
    </w:rPr>
  </w:style>
  <w:style w:type="character" w:styleId="Style7" w:customStyle="1">
    <w:name w:val="Название объекта Знак"/>
    <w:basedOn w:val="DefaultParagraphFont"/>
    <w:link w:val="ac"/>
    <w:qFormat/>
    <w:rPr/>
  </w:style>
  <w:style w:type="character" w:styleId="VerbatimChar" w:customStyle="1">
    <w:name w:val="Verbatim Char"/>
    <w:basedOn w:val="Style7"/>
    <w:link w:val="SourceCode"/>
    <w:qFormat/>
    <w:rPr>
      <w:rFonts w:ascii="Consolas" w:hAnsi="Consolas"/>
      <w:sz w:val="22"/>
    </w:rPr>
  </w:style>
  <w:style w:type="character" w:styleId="SectionNumber" w:customStyle="1">
    <w:name w:val="Section Number"/>
    <w:basedOn w:val="Style7"/>
    <w:qFormat/>
    <w:rPr/>
  </w:style>
  <w:style w:type="character" w:styleId="Style8">
    <w:name w:val="Привязка сноски"/>
    <w:rPr>
      <w:vertAlign w:val="superscript"/>
    </w:rPr>
  </w:style>
  <w:style w:type="character" w:styleId="FootnoteCharacters">
    <w:name w:val="Footnote Characters"/>
    <w:basedOn w:val="Style7"/>
    <w:qFormat/>
    <w:rPr>
      <w:vertAlign w:val="superscript"/>
    </w:rPr>
  </w:style>
  <w:style w:type="character" w:styleId="Style9">
    <w:name w:val="Интернет-ссылка"/>
    <w:basedOn w:val="Style7"/>
    <w:rPr>
      <w:color w:val="156082" w:themeColor="accent1"/>
    </w:rPr>
  </w:style>
  <w:style w:type="character" w:styleId="KeywordTok" w:customStyle="1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styleId="DataTypeTok" w:customStyle="1">
    <w:name w:val="DataTypeTok"/>
    <w:basedOn w:val="VerbatimChar"/>
    <w:qFormat/>
    <w:rPr>
      <w:rFonts w:ascii="Consolas" w:hAnsi="Consolas"/>
      <w:color w:val="902000"/>
      <w:sz w:val="22"/>
    </w:rPr>
  </w:style>
  <w:style w:type="character" w:styleId="DecValTok" w:customStyle="1">
    <w:name w:val="DecValTok"/>
    <w:basedOn w:val="VerbatimChar"/>
    <w:qFormat/>
    <w:rPr>
      <w:rFonts w:ascii="Consolas" w:hAnsi="Consolas"/>
      <w:color w:val="40A070"/>
      <w:sz w:val="22"/>
    </w:rPr>
  </w:style>
  <w:style w:type="character" w:styleId="BaseNTok" w:customStyle="1">
    <w:name w:val="BaseNTok"/>
    <w:basedOn w:val="VerbatimChar"/>
    <w:qFormat/>
    <w:rPr>
      <w:rFonts w:ascii="Consolas" w:hAnsi="Consolas"/>
      <w:color w:val="40A070"/>
      <w:sz w:val="22"/>
    </w:rPr>
  </w:style>
  <w:style w:type="character" w:styleId="FloatTok" w:customStyle="1">
    <w:name w:val="FloatTok"/>
    <w:basedOn w:val="VerbatimChar"/>
    <w:qFormat/>
    <w:rPr>
      <w:rFonts w:ascii="Consolas" w:hAnsi="Consolas"/>
      <w:color w:val="40A070"/>
      <w:sz w:val="22"/>
    </w:rPr>
  </w:style>
  <w:style w:type="character" w:styleId="ConstantTok" w:customStyle="1">
    <w:name w:val="ConstantTok"/>
    <w:basedOn w:val="VerbatimChar"/>
    <w:qFormat/>
    <w:rPr>
      <w:rFonts w:ascii="Consolas" w:hAnsi="Consolas"/>
      <w:color w:val="880000"/>
      <w:sz w:val="22"/>
    </w:rPr>
  </w:style>
  <w:style w:type="character" w:styleId="CharTok" w:customStyle="1">
    <w:name w:val="CharTok"/>
    <w:basedOn w:val="VerbatimChar"/>
    <w:qFormat/>
    <w:rPr>
      <w:rFonts w:ascii="Consolas" w:hAnsi="Consolas"/>
      <w:color w:val="4070A0"/>
      <w:sz w:val="22"/>
    </w:rPr>
  </w:style>
  <w:style w:type="character" w:styleId="SpecialCharTok" w:customStyle="1">
    <w:name w:val="SpecialCharTok"/>
    <w:basedOn w:val="VerbatimChar"/>
    <w:qFormat/>
    <w:rPr>
      <w:rFonts w:ascii="Consolas" w:hAnsi="Consolas"/>
      <w:color w:val="4070A0"/>
      <w:sz w:val="22"/>
    </w:rPr>
  </w:style>
  <w:style w:type="character" w:styleId="StringTok" w:customStyle="1">
    <w:name w:val="StringTok"/>
    <w:basedOn w:val="VerbatimChar"/>
    <w:qFormat/>
    <w:rPr>
      <w:rFonts w:ascii="Consolas" w:hAnsi="Consolas"/>
      <w:color w:val="4070A0"/>
      <w:sz w:val="22"/>
    </w:rPr>
  </w:style>
  <w:style w:type="character" w:styleId="VerbatimStringTok" w:customStyle="1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styleId="SpecialStringTok" w:customStyle="1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styleId="ImportTok" w:customStyle="1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styleId="CommentTok" w:customStyle="1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styleId="DocumentationTok" w:customStyle="1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styleId="AnnotationTok" w:customStyle="1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CommentVarTok" w:customStyle="1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OtherTok" w:customStyle="1">
    <w:name w:val="OtherTok"/>
    <w:basedOn w:val="VerbatimChar"/>
    <w:qFormat/>
    <w:rPr>
      <w:rFonts w:ascii="Consolas" w:hAnsi="Consolas"/>
      <w:color w:val="007020"/>
      <w:sz w:val="22"/>
    </w:rPr>
  </w:style>
  <w:style w:type="character" w:styleId="FunctionTok" w:customStyle="1">
    <w:name w:val="FunctionTok"/>
    <w:basedOn w:val="VerbatimChar"/>
    <w:qFormat/>
    <w:rPr>
      <w:rFonts w:ascii="Consolas" w:hAnsi="Consolas"/>
      <w:color w:val="06287E"/>
      <w:sz w:val="22"/>
    </w:rPr>
  </w:style>
  <w:style w:type="character" w:styleId="VariableTok" w:customStyle="1">
    <w:name w:val="VariableTok"/>
    <w:basedOn w:val="VerbatimChar"/>
    <w:qFormat/>
    <w:rPr>
      <w:rFonts w:ascii="Consolas" w:hAnsi="Consolas"/>
      <w:color w:val="19177C"/>
      <w:sz w:val="22"/>
    </w:rPr>
  </w:style>
  <w:style w:type="character" w:styleId="ControlFlowTok" w:customStyle="1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styleId="OperatorTok" w:customStyle="1">
    <w:name w:val="OperatorTok"/>
    <w:basedOn w:val="VerbatimChar"/>
    <w:qFormat/>
    <w:rPr>
      <w:rFonts w:ascii="Consolas" w:hAnsi="Consolas"/>
      <w:color w:val="666666"/>
      <w:sz w:val="22"/>
    </w:rPr>
  </w:style>
  <w:style w:type="character" w:styleId="BuiltInTok" w:customStyle="1">
    <w:name w:val="BuiltInTok"/>
    <w:basedOn w:val="VerbatimChar"/>
    <w:qFormat/>
    <w:rPr>
      <w:rFonts w:ascii="Consolas" w:hAnsi="Consolas"/>
      <w:color w:val="008000"/>
      <w:sz w:val="22"/>
    </w:rPr>
  </w:style>
  <w:style w:type="character" w:styleId="ExtensionTok" w:customStyle="1">
    <w:name w:val="ExtensionTok"/>
    <w:basedOn w:val="VerbatimChar"/>
    <w:qFormat/>
    <w:rPr>
      <w:rFonts w:ascii="Consolas" w:hAnsi="Consolas"/>
      <w:sz w:val="22"/>
    </w:rPr>
  </w:style>
  <w:style w:type="character" w:styleId="PreprocessorTok" w:customStyle="1">
    <w:name w:val="PreprocessorTok"/>
    <w:basedOn w:val="VerbatimChar"/>
    <w:qFormat/>
    <w:rPr>
      <w:rFonts w:ascii="Consolas" w:hAnsi="Consolas"/>
      <w:color w:val="BC7A00"/>
      <w:sz w:val="22"/>
    </w:rPr>
  </w:style>
  <w:style w:type="character" w:styleId="AttributeTok" w:customStyle="1">
    <w:name w:val="AttributeTok"/>
    <w:basedOn w:val="VerbatimChar"/>
    <w:qFormat/>
    <w:rPr>
      <w:rFonts w:ascii="Consolas" w:hAnsi="Consolas"/>
      <w:color w:val="7D9029"/>
      <w:sz w:val="22"/>
    </w:rPr>
  </w:style>
  <w:style w:type="character" w:styleId="RegionMarkerTok" w:customStyle="1">
    <w:name w:val="RegionMarkerTok"/>
    <w:basedOn w:val="VerbatimChar"/>
    <w:qFormat/>
    <w:rPr>
      <w:rFonts w:ascii="Consolas" w:hAnsi="Consolas"/>
      <w:sz w:val="22"/>
    </w:rPr>
  </w:style>
  <w:style w:type="character" w:styleId="InformationTok" w:customStyle="1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WarningTok" w:customStyle="1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styleId="AlertTok" w:customStyle="1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styleId="ErrorTok" w:customStyle="1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styleId="NormalTok" w:customStyle="1">
    <w:name w:val="NormalTok"/>
    <w:basedOn w:val="VerbatimChar"/>
    <w:qFormat/>
    <w:rPr>
      <w:rFonts w:ascii="Consolas" w:hAnsi="Consolas"/>
      <w:sz w:val="22"/>
    </w:rPr>
  </w:style>
  <w:style w:type="character" w:styleId="Style10">
    <w:name w:val="Символ сноски"/>
    <w:qFormat/>
    <w:rPr/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qFormat/>
    <w:pPr>
      <w:spacing w:before="180" w:after="18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FirstParagraph" w:customStyle="1">
    <w:name w:val="First Paragraph"/>
    <w:basedOn w:val="Style12"/>
    <w:next w:val="Style12"/>
    <w:qFormat/>
    <w:pPr/>
    <w:rPr/>
  </w:style>
  <w:style w:type="paragraph" w:styleId="Compact" w:customStyle="1">
    <w:name w:val="Compact"/>
    <w:basedOn w:val="Style12"/>
    <w:qFormat/>
    <w:pPr>
      <w:spacing w:before="36" w:after="36"/>
    </w:pPr>
    <w:rPr/>
  </w:style>
  <w:style w:type="paragraph" w:styleId="Style16">
    <w:name w:val="Title"/>
    <w:basedOn w:val="Normal"/>
    <w:next w:val="Style12"/>
    <w:link w:val="a5"/>
    <w:uiPriority w:val="10"/>
    <w:qFormat/>
    <w:rsid w:val="00a10fd9"/>
    <w:pPr>
      <w:spacing w:before="0" w:after="80"/>
      <w:contextualSpacing/>
      <w:jc w:val="center"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Style16"/>
    <w:next w:val="Style12"/>
    <w:link w:val="a7"/>
    <w:uiPriority w:val="11"/>
    <w:qFormat/>
    <w:rsid w:val="00a10fd9"/>
    <w:pPr/>
    <w:rPr>
      <w:spacing w:val="15"/>
      <w:sz w:val="28"/>
      <w:szCs w:val="28"/>
    </w:rPr>
  </w:style>
  <w:style w:type="paragraph" w:styleId="Author" w:customStyle="1">
    <w:name w:val="Author"/>
    <w:next w:val="Style12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ru" w:eastAsia="en-US" w:bidi="ar-SA"/>
    </w:rPr>
  </w:style>
  <w:style w:type="paragraph" w:styleId="Date">
    <w:name w:val="Date"/>
    <w:next w:val="Style12"/>
    <w:qFormat/>
    <w:pPr>
      <w:keepNext w:val="true"/>
      <w:keepLines/>
      <w:widowControl/>
      <w:bidi w:val="0"/>
      <w:spacing w:before="0" w:after="200"/>
      <w:jc w:val="center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ru" w:eastAsia="en-US" w:bidi="ar-SA"/>
    </w:rPr>
  </w:style>
  <w:style w:type="paragraph" w:styleId="AbstractTitle" w:customStyle="1">
    <w:name w:val="Abstract Title"/>
    <w:basedOn w:val="Normal"/>
    <w:next w:val="Abstract"/>
    <w:qFormat/>
    <w:pPr>
      <w:keepNext w:val="true"/>
      <w:keepLines/>
      <w:spacing w:before="300" w:after="0"/>
      <w:jc w:val="center"/>
    </w:pPr>
    <w:rPr>
      <w:b/>
      <w:sz w:val="20"/>
      <w:szCs w:val="20"/>
    </w:rPr>
  </w:style>
  <w:style w:type="paragraph" w:styleId="Abstract" w:customStyle="1">
    <w:name w:val="Abstract"/>
    <w:basedOn w:val="Normal"/>
    <w:next w:val="Style12"/>
    <w:qFormat/>
    <w:pPr>
      <w:keepNext w:val="true"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  <w:pPr/>
    <w:rPr/>
  </w:style>
  <w:style w:type="paragraph" w:styleId="BlockText">
    <w:name w:val="Block Text"/>
    <w:basedOn w:val="Style12"/>
    <w:next w:val="Style12"/>
    <w:uiPriority w:val="9"/>
    <w:unhideWhenUsed/>
    <w:qFormat/>
    <w:pPr>
      <w:spacing w:before="100" w:after="100"/>
      <w:ind w:left="480" w:right="480" w:hanging="0"/>
    </w:pPr>
    <w:rPr/>
  </w:style>
  <w:style w:type="paragraph" w:styleId="Style18">
    <w:name w:val="Footnote Text"/>
    <w:basedOn w:val="Normal"/>
    <w:uiPriority w:val="9"/>
    <w:unhideWhenUsed/>
    <w:qFormat/>
    <w:pPr/>
    <w:rPr/>
  </w:style>
  <w:style w:type="paragraph" w:styleId="FootnoteBlockText" w:customStyle="1">
    <w:name w:val="Footnote Block Text"/>
    <w:basedOn w:val="Style18"/>
    <w:next w:val="Style18"/>
    <w:uiPriority w:val="9"/>
    <w:unhideWhenUsed/>
    <w:qFormat/>
    <w:pPr>
      <w:spacing w:before="100" w:after="100"/>
      <w:ind w:left="480" w:right="480" w:hanging="0"/>
    </w:pPr>
    <w:rPr/>
  </w:style>
  <w:style w:type="paragraph" w:styleId="DefinitionTerm" w:customStyle="1">
    <w:name w:val="Definition Term"/>
    <w:basedOn w:val="Normal"/>
    <w:next w:val="Definition"/>
    <w:qFormat/>
    <w:pPr>
      <w:keepNext w:val="true"/>
      <w:keepLines/>
      <w:spacing w:before="0" w:after="0"/>
    </w:pPr>
    <w:rPr>
      <w:b/>
    </w:rPr>
  </w:style>
  <w:style w:type="paragraph" w:styleId="Definition" w:customStyle="1">
    <w:name w:val="Definition"/>
    <w:basedOn w:val="Normal"/>
    <w:qFormat/>
    <w:pPr/>
    <w:rPr/>
  </w:style>
  <w:style w:type="paragraph" w:styleId="Caption">
    <w:name w:val="caption"/>
    <w:basedOn w:val="Normal"/>
    <w:link w:val="ad"/>
    <w:qFormat/>
    <w:pPr>
      <w:spacing w:before="0" w:after="120"/>
    </w:pPr>
    <w:rPr>
      <w:i/>
    </w:rPr>
  </w:style>
  <w:style w:type="paragraph" w:styleId="TableCaption" w:customStyle="1">
    <w:name w:val="Table Caption"/>
    <w:basedOn w:val="Caption"/>
    <w:qFormat/>
    <w:pPr>
      <w:keepNext w:val="true"/>
    </w:pPr>
    <w:rPr/>
  </w:style>
  <w:style w:type="paragraph" w:styleId="ImageCaption" w:customStyle="1">
    <w:name w:val="Image Caption"/>
    <w:basedOn w:val="Caption"/>
    <w:qFormat/>
    <w:pPr/>
    <w:rPr/>
  </w:style>
  <w:style w:type="paragraph" w:styleId="Style19" w:customStyle="1">
    <w:name w:val="Фигура"/>
    <w:basedOn w:val="Normal"/>
    <w:qFormat/>
    <w:pPr/>
    <w:rPr/>
  </w:style>
  <w:style w:type="paragraph" w:styleId="CaptionedFigure" w:customStyle="1">
    <w:name w:val="Captioned Figure"/>
    <w:basedOn w:val="Style19"/>
    <w:qFormat/>
    <w:pPr>
      <w:keepNext w:val="true"/>
    </w:pPr>
    <w:rPr/>
  </w:style>
  <w:style w:type="paragraph" w:styleId="TOCHeading">
    <w:name w:val="TOC Heading"/>
    <w:basedOn w:val="1"/>
    <w:next w:val="Style12"/>
    <w:uiPriority w:val="39"/>
    <w:unhideWhenUsed/>
    <w:qFormat/>
    <w:pPr>
      <w:spacing w:lineRule="auto" w:line="259" w:before="240" w:after="80"/>
    </w:pPr>
    <w:rPr/>
  </w:style>
  <w:style w:type="paragraph" w:styleId="SourceCode" w:customStyle="1">
    <w:name w:val="Source Code"/>
    <w:basedOn w:val="Normal"/>
    <w:link w:val="VerbatimChar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1745</Words>
  <Characters>11869</Characters>
  <CharactersWithSpaces>13600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2026-03-30T12:39:00Z</dcterms:created>
  <dc:creator/>
  <dc:description/>
  <dc:language>ru</dc:language>
  <cp:lastModifiedBy>Andrew Che</cp:lastModifiedBy>
  <dcterms:modified xsi:type="dcterms:W3CDTF">2026-03-30T12:39:00Z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